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«ОСНОВНАЯ ОБЩЕОБРАЗОВАТЕЛЬНАЯ ШКОЛА №4»</w:t>
      </w:r>
    </w:p>
    <w:tbl>
      <w:tblPr>
        <w:tblStyle w:val="4"/>
        <w:tblW w:w="957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Layout w:type="fixed"/>
        </w:tblPrEx>
        <w:tc>
          <w:tcPr>
            <w:tcW w:w="3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РАССМОТРЕНО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на заседании МО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протокол 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_ 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Н.П. Федорова</w:t>
            </w:r>
          </w:p>
        </w:tc>
        <w:tc>
          <w:tcPr>
            <w:tcW w:w="3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СОГЛАСОВАНО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Зам. директора по УВР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»__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августа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М.М. Чурикова</w:t>
            </w:r>
          </w:p>
        </w:tc>
        <w:tc>
          <w:tcPr>
            <w:tcW w:w="3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УТВЕРЖДЕНО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Приказом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126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eastAsia="en-US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Директор</w:t>
            </w:r>
            <w:r>
              <w:rPr>
                <w:rFonts w:hint="default" w:ascii="Times New Roman" w:hAnsi="Times New Roman" w:cs="Times New Roman"/>
              </w:rPr>
              <w:t xml:space="preserve"> МБОУ ООШ№4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О.П.Играшкина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Адаптированная общеобразовательная программа</w:t>
      </w:r>
    </w:p>
    <w:p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для детей с ЗПР (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1</w:t>
      </w:r>
      <w:r>
        <w:rPr>
          <w:rFonts w:ascii="Times New Roman" w:hAnsi="Times New Roman"/>
          <w:b/>
          <w:bCs/>
          <w:sz w:val="40"/>
          <w:szCs w:val="40"/>
        </w:rPr>
        <w:t xml:space="preserve"> вариант)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чтению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«Б» классе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 учебный год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Большакова</w:t>
      </w:r>
      <w:r>
        <w:rPr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Алёна Алексеевна</w:t>
      </w:r>
    </w:p>
    <w:p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102 часа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 3 часа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Style w:val="3"/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  <w:lang w:val="ru-RU"/>
        </w:rPr>
        <w:t xml:space="preserve">Учебник: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</w:rPr>
        <w:t>Климанова Л.Ф., Горецкий В.Г., Голованова М.В. и др.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Style w:val="3"/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</w:rPr>
        <w:t>Литературное чтение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</w:rPr>
        <w:t>. 4 класс.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  <w:lang w:val="ru-RU"/>
        </w:rPr>
        <w:t xml:space="preserve"> Учебник для общеобразовательных организаций в комплекте с аудиоприложением на электронном носителе.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olor w:val="222222"/>
          <w:spacing w:val="0"/>
          <w:sz w:val="28"/>
          <w:szCs w:val="28"/>
          <w:shd w:val="clear" w:fill="FFFFFF"/>
          <w:lang w:val="ru-RU"/>
        </w:rPr>
        <w:t>В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  <w:lang w:val="ru-RU"/>
        </w:rPr>
        <w:t xml:space="preserve"> 2 частях. - М.: Просвезение, 2013.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г.Биробиджан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«ОСНОВНАЯ ОБЩЕОБРАЗОВАТЕЛЬНАЯ ШКОЛА №4»</w:t>
      </w:r>
    </w:p>
    <w:tbl>
      <w:tblPr>
        <w:tblStyle w:val="4"/>
        <w:tblW w:w="957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Layout w:type="fixed"/>
        </w:tblPrEx>
        <w:tc>
          <w:tcPr>
            <w:tcW w:w="3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РАССМОТРЕНО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на заседании МО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протокол 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_ 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Н.П. Федорова</w:t>
            </w:r>
          </w:p>
        </w:tc>
        <w:tc>
          <w:tcPr>
            <w:tcW w:w="3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СОГЛАСОВАНО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Зам. директора по УВР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»__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августа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М.М. Чурикова</w:t>
            </w:r>
          </w:p>
        </w:tc>
        <w:tc>
          <w:tcPr>
            <w:tcW w:w="3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УТВЕРЖДЕНО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Приказом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125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eastAsia="en-US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Директор</w:t>
            </w:r>
            <w:r>
              <w:rPr>
                <w:rFonts w:hint="default" w:ascii="Times New Roman" w:hAnsi="Times New Roman" w:cs="Times New Roman"/>
              </w:rPr>
              <w:t xml:space="preserve"> МБОУ ООШ№4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О.П.Играшкина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>Рабочая программа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чтению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«Б» классе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 учебный год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Большакова</w:t>
      </w:r>
      <w:r>
        <w:rPr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Алёна Алексеевна</w:t>
      </w:r>
    </w:p>
    <w:p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102 часа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 3 часа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Style w:val="3"/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  <w:lang w:val="ru-RU"/>
        </w:rPr>
        <w:t xml:space="preserve">Учебник: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</w:rPr>
        <w:t>Климанова Л.Ф., Горецкий В.Г., Голованова М.В. и др.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Style w:val="3"/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</w:rPr>
        <w:t>Литературное чтение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</w:rPr>
        <w:t>. 4 класс.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  <w:lang w:val="ru-RU"/>
        </w:rPr>
        <w:t xml:space="preserve"> Учебник для общеобразовательных организаций в комплекте с аудиоприложением на электронном носителе.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olor w:val="222222"/>
          <w:spacing w:val="0"/>
          <w:sz w:val="28"/>
          <w:szCs w:val="28"/>
          <w:shd w:val="clear" w:fill="FFFFFF"/>
          <w:lang w:val="ru-RU"/>
        </w:rPr>
        <w:t>В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  <w:lang w:val="ru-RU"/>
        </w:rPr>
        <w:t xml:space="preserve"> 2 частях. - М.: Просвезение, 2013.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г.Биробиджан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ap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Адаптированная общеобразовательная программа по «литературному чтению</w:t>
      </w:r>
      <w:bookmarkStart w:id="0" w:name="_GoBack"/>
      <w:bookmarkEnd w:id="0"/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 w:eastAsia="en-US"/>
        </w:rPr>
        <w:t>» разработана в соответствии с требованиями Федерального государственного образовательного стандарта НОО обучающихся с ограниченными возмоностями здоровья (утвержден приказом Министерства образования и науки РФ от 19.12.2014 №1598).</w:t>
      </w:r>
    </w:p>
    <w:p>
      <w:pPr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142"/>
        <w:jc w:val="center"/>
        <w:textAlignment w:val="auto"/>
        <w:outlineLvl w:val="9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en-US"/>
        </w:rPr>
        <w:t>РЕЗУЛЬТАТЫ ИЗУЧЕНИЯ КУРСА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firstLine="425"/>
        <w:jc w:val="both"/>
        <w:textAlignment w:val="auto"/>
        <w:outlineLvl w:val="9"/>
        <w:rPr>
          <w:rFonts w:ascii="Times New Roman" w:hAnsi="Times New Roman" w:eastAsia="Calibri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eastAsia="en-US"/>
        </w:rPr>
        <w:t>Предметные</w:t>
      </w:r>
    </w:p>
    <w:p>
      <w:pPr>
        <w:pStyle w:val="6"/>
        <w:numPr>
          <w:ilvl w:val="0"/>
          <w:numId w:val="1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>
      <w:pPr>
        <w:pStyle w:val="6"/>
        <w:numPr>
          <w:ilvl w:val="0"/>
          <w:numId w:val="1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</w:t>
      </w:r>
    </w:p>
    <w:p>
      <w:pPr>
        <w:pStyle w:val="6"/>
        <w:numPr>
          <w:ilvl w:val="0"/>
          <w:numId w:val="1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>Понимание роли чтения, использование разных видов чтения (ознакомительное, изучающее,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героев.</w:t>
      </w:r>
    </w:p>
    <w:p>
      <w:pPr>
        <w:pStyle w:val="6"/>
        <w:numPr>
          <w:ilvl w:val="0"/>
          <w:numId w:val="1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>
      <w:pPr>
        <w:pStyle w:val="6"/>
        <w:numPr>
          <w:ilvl w:val="0"/>
          <w:numId w:val="1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>
      <w:pPr>
        <w:tabs>
          <w:tab w:val="left" w:pos="426"/>
        </w:tabs>
        <w:spacing w:after="0" w:line="240" w:lineRule="auto"/>
        <w:ind w:right="14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>
      <w:pPr>
        <w:pStyle w:val="6"/>
        <w:numPr>
          <w:ilvl w:val="1"/>
          <w:numId w:val="2"/>
        </w:numPr>
        <w:tabs>
          <w:tab w:val="left" w:pos="426"/>
        </w:tabs>
        <w:spacing w:line="240" w:lineRule="auto"/>
        <w:ind w:left="0" w:right="140" w:firstLine="426"/>
        <w:rPr>
          <w:iCs/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>
      <w:pPr>
        <w:pStyle w:val="6"/>
        <w:numPr>
          <w:ilvl w:val="1"/>
          <w:numId w:val="2"/>
        </w:numPr>
        <w:tabs>
          <w:tab w:val="left" w:pos="426"/>
        </w:tabs>
        <w:spacing w:line="240" w:lineRule="auto"/>
        <w:ind w:left="0" w:right="140" w:firstLine="426"/>
        <w:rPr>
          <w:iCs/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>
      <w:pPr>
        <w:pStyle w:val="6"/>
        <w:numPr>
          <w:ilvl w:val="1"/>
          <w:numId w:val="2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>
      <w:pPr>
        <w:pStyle w:val="6"/>
        <w:numPr>
          <w:ilvl w:val="1"/>
          <w:numId w:val="2"/>
        </w:numPr>
        <w:tabs>
          <w:tab w:val="left" w:pos="426"/>
        </w:tabs>
        <w:spacing w:line="240" w:lineRule="auto"/>
        <w:ind w:left="0" w:right="140" w:firstLine="426"/>
        <w:rPr>
          <w:iCs/>
          <w:sz w:val="28"/>
          <w:szCs w:val="28"/>
        </w:rPr>
      </w:pPr>
      <w:r>
        <w:rPr>
          <w:sz w:val="28"/>
          <w:szCs w:val="28"/>
        </w:rPr>
        <w:t>Овладение н</w:t>
      </w:r>
      <w:r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>
      <w:pPr>
        <w:pStyle w:val="6"/>
        <w:numPr>
          <w:ilvl w:val="1"/>
          <w:numId w:val="2"/>
        </w:numPr>
        <w:tabs>
          <w:tab w:val="left" w:pos="426"/>
        </w:tabs>
        <w:spacing w:line="240" w:lineRule="auto"/>
        <w:ind w:left="0" w:right="140" w:firstLine="426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>
      <w:pPr>
        <w:pStyle w:val="6"/>
        <w:numPr>
          <w:ilvl w:val="1"/>
          <w:numId w:val="2"/>
        </w:numPr>
        <w:tabs>
          <w:tab w:val="left" w:pos="426"/>
        </w:tabs>
        <w:spacing w:line="240" w:lineRule="auto"/>
        <w:ind w:left="0" w:right="140" w:firstLine="426"/>
        <w:rPr>
          <w:iCs/>
          <w:sz w:val="28"/>
          <w:szCs w:val="28"/>
        </w:rPr>
      </w:pPr>
      <w:r>
        <w:rPr>
          <w:sz w:val="28"/>
          <w:szCs w:val="28"/>
        </w:rPr>
        <w:t>Развитие самостоятельности</w:t>
      </w:r>
      <w:r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>
      <w:pPr>
        <w:pStyle w:val="6"/>
        <w:numPr>
          <w:ilvl w:val="1"/>
          <w:numId w:val="2"/>
        </w:numPr>
        <w:tabs>
          <w:tab w:val="left" w:pos="426"/>
        </w:tabs>
        <w:spacing w:line="240" w:lineRule="auto"/>
        <w:ind w:left="0" w:right="140" w:firstLine="426"/>
        <w:rPr>
          <w:iCs/>
          <w:sz w:val="28"/>
          <w:szCs w:val="28"/>
        </w:rPr>
      </w:pPr>
      <w:r>
        <w:rPr>
          <w:sz w:val="28"/>
          <w:szCs w:val="28"/>
        </w:rPr>
        <w:t>Формирование э</w:t>
      </w:r>
      <w:r>
        <w:rPr>
          <w:iCs/>
          <w:sz w:val="28"/>
          <w:szCs w:val="28"/>
        </w:rPr>
        <w:t>стетических потребностей, ценностей и чувств.</w:t>
      </w:r>
    </w:p>
    <w:p>
      <w:pPr>
        <w:pStyle w:val="6"/>
        <w:numPr>
          <w:ilvl w:val="1"/>
          <w:numId w:val="2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>Развитие э</w:t>
      </w:r>
      <w:r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>
      <w:pPr>
        <w:pStyle w:val="6"/>
        <w:numPr>
          <w:ilvl w:val="1"/>
          <w:numId w:val="2"/>
        </w:numPr>
        <w:tabs>
          <w:tab w:val="left" w:pos="426"/>
        </w:tabs>
        <w:spacing w:line="240" w:lineRule="auto"/>
        <w:ind w:left="0" w:right="140" w:firstLine="426"/>
        <w:rPr>
          <w:iCs/>
          <w:sz w:val="28"/>
          <w:szCs w:val="28"/>
        </w:rPr>
      </w:pPr>
      <w:r>
        <w:rPr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>
      <w:pPr>
        <w:pStyle w:val="6"/>
        <w:numPr>
          <w:ilvl w:val="1"/>
          <w:numId w:val="2"/>
        </w:numPr>
        <w:tabs>
          <w:tab w:val="left" w:pos="426"/>
        </w:tabs>
        <w:spacing w:line="240" w:lineRule="auto"/>
        <w:ind w:left="0" w:right="140" w:firstLine="426"/>
        <w:rPr>
          <w:iCs/>
          <w:sz w:val="28"/>
          <w:szCs w:val="28"/>
        </w:rPr>
      </w:pPr>
      <w:r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>
      <w:pPr>
        <w:tabs>
          <w:tab w:val="left" w:pos="426"/>
        </w:tabs>
        <w:spacing w:after="0" w:line="240" w:lineRule="auto"/>
        <w:ind w:right="14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>
      <w:pPr>
        <w:pStyle w:val="6"/>
        <w:numPr>
          <w:ilvl w:val="1"/>
          <w:numId w:val="3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 xml:space="preserve">Овладение </w:t>
      </w:r>
      <w:r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>
      <w:pPr>
        <w:pStyle w:val="6"/>
        <w:numPr>
          <w:ilvl w:val="1"/>
          <w:numId w:val="3"/>
        </w:numPr>
        <w:tabs>
          <w:tab w:val="left" w:pos="426"/>
        </w:tabs>
        <w:spacing w:line="240" w:lineRule="auto"/>
        <w:ind w:left="0" w:right="140" w:firstLine="426"/>
        <w:rPr>
          <w:iCs/>
          <w:sz w:val="28"/>
          <w:szCs w:val="28"/>
        </w:rPr>
      </w:pPr>
      <w:r>
        <w:rPr>
          <w:sz w:val="28"/>
          <w:szCs w:val="28"/>
        </w:rPr>
        <w:t>Формирование умения</w:t>
      </w:r>
      <w:r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>
      <w:pPr>
        <w:pStyle w:val="6"/>
        <w:numPr>
          <w:ilvl w:val="1"/>
          <w:numId w:val="3"/>
        </w:numPr>
        <w:tabs>
          <w:tab w:val="left" w:pos="426"/>
        </w:tabs>
        <w:spacing w:line="240" w:lineRule="auto"/>
        <w:ind w:left="0" w:right="140" w:firstLine="426"/>
        <w:rPr>
          <w:iCs/>
          <w:sz w:val="28"/>
          <w:szCs w:val="28"/>
        </w:rPr>
      </w:pPr>
      <w:r>
        <w:rPr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>
      <w:pPr>
        <w:pStyle w:val="6"/>
        <w:numPr>
          <w:ilvl w:val="1"/>
          <w:numId w:val="3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>Активное использование речевых средств и средств для решения коммуникативных и познавательных задач.</w:t>
      </w:r>
    </w:p>
    <w:p>
      <w:pPr>
        <w:pStyle w:val="6"/>
        <w:numPr>
          <w:ilvl w:val="1"/>
          <w:numId w:val="3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>
      <w:pPr>
        <w:pStyle w:val="6"/>
        <w:numPr>
          <w:ilvl w:val="1"/>
          <w:numId w:val="3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>
      <w:pPr>
        <w:pStyle w:val="6"/>
        <w:numPr>
          <w:ilvl w:val="1"/>
          <w:numId w:val="3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>Овладение л</w:t>
      </w:r>
      <w:r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sz w:val="28"/>
          <w:szCs w:val="28"/>
        </w:rPr>
        <w:t>.</w:t>
      </w:r>
    </w:p>
    <w:p>
      <w:pPr>
        <w:pStyle w:val="6"/>
        <w:numPr>
          <w:ilvl w:val="1"/>
          <w:numId w:val="3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>
      <w:pPr>
        <w:pStyle w:val="6"/>
        <w:numPr>
          <w:ilvl w:val="1"/>
          <w:numId w:val="3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>
      <w:pPr>
        <w:pStyle w:val="6"/>
        <w:numPr>
          <w:ilvl w:val="1"/>
          <w:numId w:val="3"/>
        </w:numPr>
        <w:tabs>
          <w:tab w:val="left" w:pos="426"/>
        </w:tabs>
        <w:spacing w:line="240" w:lineRule="auto"/>
        <w:ind w:left="0" w:right="140" w:firstLine="426"/>
        <w:rPr>
          <w:sz w:val="28"/>
          <w:szCs w:val="28"/>
        </w:rPr>
      </w:pPr>
      <w:r>
        <w:rPr>
          <w:sz w:val="28"/>
          <w:szCs w:val="28"/>
        </w:rPr>
        <w:t>Готовность конструктивно разрешать конфликты посредством учёта интересов сторон и сотрудничества.</w:t>
      </w:r>
    </w:p>
    <w:p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СОДЕРЖАНИЕ ТЕМ УЧЕБНОГО КУРСА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Летописи. Былины. Жития (</w:t>
      </w:r>
      <w:r>
        <w:rPr>
          <w:rFonts w:ascii="Times New Roman" w:hAnsi="Times New Roman" w:cs="Times New Roman"/>
          <w:iCs/>
          <w:sz w:val="28"/>
          <w:szCs w:val="28"/>
        </w:rPr>
        <w:t>8ч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Летописи. «И повесил Олег щит свой на вратах Царьграда».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вспомнил Олег коня своего». Былина-жанр устного народного творчества. «Ильины три поездочки». Былина «Ильины три поездочки». «Житие Сергия Радонежского» - памятник древнерусской литературы. «Житие Сергия Радонежского». Характеристика главного героя. Обобщение по разделу «Летописи, былины, жития». Проверочная работа по теме: «Летописи. Былины. Жития».  Проект: «Создание календаря исторических событий».</w:t>
      </w:r>
    </w:p>
    <w:p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Чудесный мир классики </w:t>
      </w:r>
      <w:r>
        <w:rPr>
          <w:rFonts w:ascii="Times New Roman" w:hAnsi="Times New Roman" w:cs="Times New Roman"/>
          <w:iCs/>
          <w:sz w:val="28"/>
          <w:szCs w:val="28"/>
        </w:rPr>
        <w:t>(17 ч)</w:t>
      </w:r>
    </w:p>
    <w:p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творчество П.П. Ершова. Сказка «Конёк-Горбунок». Сходство русских народных сказок и авторской сказки П. П. Ершова «Конёк-Горбунок». Детство А. С. Пушкина. А. Слонимский. А.С. Пушкин. «Няне». А.С. Пушкин «Туча», «Унылая пора!..». А.С. Пушкин «Сказка о мёртвой царевне и о семи богатырях». Знакомство с произведением. Творчество М.Ю. Лермонтова. «Дары Те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река». М.Ю. Лермонтов «Ашик-Кериб». Главы из автобиографической повести Л. Н. Толстого «Детство».  Л. Толстой «Как мужик убрал камень». Урок нравственности. Творчество А.П. Чехова. «Мальчики». Первичное знакомство. Обобщение по разделу «Чудесный мир классики».</w:t>
      </w:r>
    </w:p>
    <w:p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Поэтическая тетрадь </w:t>
      </w:r>
      <w:r>
        <w:rPr>
          <w:rFonts w:ascii="Times New Roman" w:hAnsi="Times New Roman" w:cs="Times New Roman"/>
          <w:iCs/>
          <w:sz w:val="28"/>
          <w:szCs w:val="28"/>
        </w:rPr>
        <w:t>(8 ч)</w:t>
      </w:r>
    </w:p>
    <w:p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Тютчева. «Еще земли печален вид…». Ф. Тютчев.  «Как неожиданно и ярко…». А. Фет. «Весенний дождь», «Бабочка». Е. А. Баратынский «Весна, весна! Как воздух чист!..». Е. А. Баратынский «Где сладкий шепот…». А. Н. Плещеев. «Дети и птичка». И. С. Никитин «В синем небе плывут над полями…». Н. А. Некрасова «Школьник».  Н. А. Некрасова «В зимние сумерки нянины сказки…». И. А. Бунина «Листопад». </w:t>
      </w:r>
    </w:p>
    <w:p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Литературные сказки </w:t>
      </w:r>
      <w:r>
        <w:rPr>
          <w:rFonts w:ascii="Times New Roman" w:hAnsi="Times New Roman" w:cs="Times New Roman"/>
          <w:iCs/>
          <w:sz w:val="28"/>
          <w:szCs w:val="28"/>
        </w:rPr>
        <w:t>(13 ч)</w:t>
      </w:r>
    </w:p>
    <w:p>
      <w:pPr>
        <w:tabs>
          <w:tab w:val="left" w:pos="210"/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Одоевский «Городок в табакерке». Первичное знакомство. Знакомство с творчеством В.М. Гаршин. В.М. Гаршин «Сказка о жабе и розе». Знакомство с произведением. Знакомство с творчеством П. П. Бажова.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П.П. Бажов «Серебряное копытце». Первичное восприятие. С.Т. Аксаков «Аленький цветочек». Первичное знакомство. Сказка С. Т. Аксакова «Аленький цветочек». КВН по дорогам сказок. </w:t>
      </w:r>
    </w:p>
    <w:p>
      <w:pPr>
        <w:tabs>
          <w:tab w:val="left" w:pos="210"/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Делу время – потехе час </w:t>
      </w:r>
      <w:r>
        <w:rPr>
          <w:rFonts w:ascii="Times New Roman" w:hAnsi="Times New Roman" w:cs="Times New Roman"/>
          <w:iCs/>
          <w:sz w:val="28"/>
          <w:szCs w:val="28"/>
        </w:rPr>
        <w:t>(9 часов)</w:t>
      </w:r>
    </w:p>
    <w:p>
      <w:pPr>
        <w:tabs>
          <w:tab w:val="left" w:pos="210"/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Е.Л. Шварц Сказка о потерянном времени. В.И. Драгунский. Знакомство с писателем и его произведениями. В. И. Драгунский. Главные реки.  В. И. Драгунский. Что любит Мишка. В.В. Голявкин. Никакой горчицы я не ел. Обобщающий урок по разделу «Делу время – потехе час».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Страна детства </w:t>
      </w:r>
      <w:r>
        <w:rPr>
          <w:rFonts w:ascii="Times New Roman" w:hAnsi="Times New Roman" w:cs="Times New Roman"/>
          <w:iCs/>
          <w:sz w:val="28"/>
          <w:szCs w:val="28"/>
        </w:rPr>
        <w:t>(7 часов)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Б.С. Житков. Как я ловил человечков. К.Г. Паустовский. Корзина с еловыми шишками. М.М. Зощенко. Елка. Обобщение по разделу «Страна детства».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Поэтическая тетрадь </w:t>
      </w:r>
      <w:r>
        <w:rPr>
          <w:rFonts w:ascii="Times New Roman" w:hAnsi="Times New Roman" w:cs="Times New Roman"/>
          <w:iCs/>
          <w:sz w:val="28"/>
          <w:szCs w:val="28"/>
        </w:rPr>
        <w:t>(6 часов)</w:t>
      </w:r>
    </w:p>
    <w:p>
      <w:pPr>
        <w:tabs>
          <w:tab w:val="left" w:pos="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Я. Брюсов «Опять сон». В. Я. Брюсов «Детская». С. А. Есенин «Бабушкины сказки». М. И. Цветаева «Бежит тропинка с бугорка». М.И. Цветаева «Наши царства». Обобщение по разделу «Поэтическая тетрадь».</w:t>
      </w:r>
    </w:p>
    <w:p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Природа и мы </w:t>
      </w:r>
      <w:r>
        <w:rPr>
          <w:rFonts w:ascii="Times New Roman" w:hAnsi="Times New Roman" w:cs="Times New Roman"/>
          <w:iCs/>
          <w:sz w:val="28"/>
          <w:szCs w:val="28"/>
        </w:rPr>
        <w:t>(9 часов)</w:t>
      </w:r>
    </w:p>
    <w:p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Мамин-Сибиряк. Приемыш. А.И. Куприн Барбос и Жулька. М.М. Пришвин «Выскочка». Рассказ о животных Е. И. Чарушин «Кабан». В.П. Астафьев. Обобщение по разделу «Природа и мы».</w:t>
      </w:r>
    </w:p>
    <w:p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Поэтическая тетрадь (</w:t>
      </w:r>
      <w:r>
        <w:rPr>
          <w:rFonts w:ascii="Times New Roman" w:hAnsi="Times New Roman" w:cs="Times New Roman"/>
          <w:iCs/>
          <w:sz w:val="28"/>
          <w:szCs w:val="28"/>
        </w:rPr>
        <w:t>6 часов)</w:t>
      </w:r>
    </w:p>
    <w:p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Б.Л. Пастернак. Золотая осень. С.А. Клычков. Весна в лесу. Д. Б. Кедрин «Бабье лето». Н. М. Рубцов «Сентябрь». С.А. Есенин «Лебедушка». </w:t>
      </w:r>
    </w:p>
    <w:p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Родина (</w:t>
      </w:r>
      <w:r>
        <w:rPr>
          <w:rFonts w:ascii="Times New Roman" w:hAnsi="Times New Roman" w:cs="Times New Roman"/>
          <w:iCs/>
          <w:sz w:val="28"/>
          <w:szCs w:val="28"/>
        </w:rPr>
        <w:t>6 часов)</w:t>
      </w:r>
    </w:p>
    <w:p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С. Никитина «Русь». С.Д. Дрожжин.  Родине. А. В. Жигулина «О, Родина!». Б. А. Слуцкого «Лошади в океане». Обобщение по разделу «Родина». </w:t>
      </w:r>
    </w:p>
    <w:p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Страна Фантазия </w:t>
      </w:r>
      <w:r>
        <w:rPr>
          <w:rFonts w:ascii="Times New Roman" w:hAnsi="Times New Roman" w:cs="Times New Roman"/>
          <w:iCs/>
          <w:sz w:val="28"/>
          <w:szCs w:val="28"/>
        </w:rPr>
        <w:t>(5 часов)</w:t>
      </w:r>
    </w:p>
    <w:p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Е.С. Велтистов. Приключения Электроника. Кир Булычев. Путешествие Алисы. Путешествие по «Стране Фантазии». (Обобщающий урок). </w:t>
      </w:r>
    </w:p>
    <w:p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Зарубежная литература </w:t>
      </w:r>
      <w:r>
        <w:rPr>
          <w:rFonts w:ascii="Times New Roman" w:hAnsi="Times New Roman" w:cs="Times New Roman"/>
          <w:iCs/>
          <w:sz w:val="28"/>
          <w:szCs w:val="28"/>
        </w:rPr>
        <w:t>(8 часов)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Джонатан Свифт. Путешествие Гулливера. Г.Х. Андерсен. Русалочка. М. Твена «Приключения Тома Сойера». Библейские сказания. С. Лагерлеф «Святая ночь». С. Лагерлёф. В Назарете. Обобщающий урок по разделу «Зарубежная литература». Урок-конкурс «В стране литературных героев». </w:t>
      </w:r>
      <w:r>
        <w:rPr>
          <w:rStyle w:val="5"/>
          <w:rFonts w:ascii="Times New Roman" w:hAnsi="Times New Roman" w:cs="Times New Roman"/>
          <w:sz w:val="28"/>
          <w:szCs w:val="28"/>
        </w:rPr>
        <w:t>Урок КВН</w:t>
      </w:r>
      <w:r>
        <w:rPr>
          <w:rFonts w:ascii="Times New Roman" w:hAnsi="Times New Roman" w:cs="Times New Roman"/>
          <w:sz w:val="28"/>
          <w:szCs w:val="28"/>
        </w:rPr>
        <w:t xml:space="preserve"> по сказкам зарубежных писателей. Брейн-ринг (обобщающий урок за курс 4-го класса). Урок-отчет за год. Книги, рекомендуемые для прочтения летом.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4"/>
        <w:tblW w:w="9802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6946"/>
        <w:gridCol w:w="27"/>
        <w:gridCol w:w="1816"/>
        <w:gridCol w:w="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44" w:hRule="atLeast"/>
        </w:trPr>
        <w:tc>
          <w:tcPr>
            <w:tcW w:w="9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Темы, разделы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02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Былины.  Летописи. Жития (8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Летописи. «И повесил Олег щит свой на вратах Царьграда»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вспомнил Олег коня своего»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Былина-жанр устного народного творчества. «Ильины три поездочки»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Былина «Ильины три поездочки»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«Житие Сергия Радонежского» - памятник древнерусской литературы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«Житие Сергия Радонежского». Характеристика главного героя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«Летописи, былины, жития»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«Летописи. Былины. Жития». Проект: «Создание календаря исторических событий».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02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Чудесный мир классики (17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творчество П.П. Ершова. Сказка «Конёк-Горбунок». Характеры главных героев в сказке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  Ершова «Конёк-Горбунок». Составление плана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Детство А. С. Пушкина. А. Слонимский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Пушкин. «Няне»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 «Туча», «Унылая пора!..»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 «Сказка о мёртвой царевне и о семи богатырях». 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 «Сказка о мёртвой царевне…». Образные выражения. Характеристика героев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 «Сказка о мёртвой царевне…». Пересказ произведения по плану.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М.Ю. Лермонтова. «Дары Терека»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 Лермонтов «Ашик-Кериб». Первичное восприятие и анализ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 Лермонтов «Ашик-Кериб». Составление характеристики основным действующим лицам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выразительности, язык, сравнения в сказке М. Лермонтова «Ашик-Кериб»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из автобиографической повести Л. Н. Толстого «Детство»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Толстой «Как мужик убрал камень». Урок нравственности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А.П. Чехова. «Мальчики». Первичное знакомство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 «Мальчики». Составление характеристики поступка героя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«Чудесный мир классики»</w:t>
            </w:r>
          </w:p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«Чудесный мир классики»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02" w:type="dxa"/>
            <w:gridSpan w:val="5"/>
          </w:tcPr>
          <w:p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 №1 (8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 Тютчева. «Еще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печален вид…», «Как неожиданно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ярко…»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Фет. «Весенний дождь», «Бабочка»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Баратынский «Весна, весна! Как воздух чист!..», «Где сладкий шепот…»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Н. Плещеев. «Дети и птичка»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С. Никитин «В синем небе плывут над полями…»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Некрасова «Школьник», «В зимние сумерки нянины сказки…»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Бунина «Листопад»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«Поэтическая тетрадь»</w:t>
            </w:r>
          </w:p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«Поэтическая тетрадь»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02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сказки (13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Одоевский «Городок в табакерке». Первичное знакомство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Одоевский «Городок в табакерке». Анализ сказки, характеристика героев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В.М. Гаршин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Гаршин «Сказка о жабе и розе». Знакомство с произведением. Анализ сказки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Гаршин «Сказка о жабе и розе». Характеристика героев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П. П. Бажова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Бажов «Серебряное копытце». Первичное восприятие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речи героев сказа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П. Бажова «Серебряное копытце»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 Аксаков «Аленький цветочек». Первичное знакомство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 Аксаков «Аленький цветочек». Деление на части, составление плана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добра и зла в сказке С. Т. Аксакова «Аленький цветочек»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 по разделу «Литературные сказки»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«Литературные сказки»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 по первой части учебника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02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Делу время – потехе час (9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 Шварц Сказка о потерянном времени. Первичное знакомство.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Е.Л. Шварц Сказка о потерянном времени. Деление текста на смысловые части. 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 Шварц Сказка о потерянном времени. Характеристика героев. Нравственные ценности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Драгунский. Знакомство с писателем и его произведениями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И. Драгунский. Главные реки. 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Драгунский. Что любит Мишка Выделение главной мысли, сопоставление героев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Голявкин. Никакой горчицы я не ел. Коллективное составление плана.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«Делу время – потехе час»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«Делу время- потехе час»</w:t>
            </w:r>
          </w:p>
        </w:tc>
        <w:tc>
          <w:tcPr>
            <w:tcW w:w="184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02" w:type="dxa"/>
            <w:gridSpan w:val="5"/>
          </w:tcPr>
          <w:p>
            <w:pPr>
              <w:tabs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 детства (7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Б.С. Житков. Как я ловил человечков Первичное знакомство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Б.С. Житков. Как я ловил человечков. Деление текста на смысловые части.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Б.С. Житков. Как я ловил человечков.  Взаимоотношения детей и взрослых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 Паустовский. Корзина с еловыми шишками. 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 Паустовский. Корзина с еловыми шишками. Восприятия текста через слова, музыку, живопись.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Зощенко. Елка. Урок нравственности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«Страна детства»</w:t>
            </w:r>
          </w:p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«Страна детства»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0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 №2 (6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Я. Брюсов «Опять сон», 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Я. Брюсов «Детская»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Есенин «Бабушкины сказки» 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И. Цветаева «Бежит тропинка с бугорка» 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Цветаева «Наши царства»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«Поэтическая тетрадь»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0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мы (9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Мамин-Сибиряк. Приемыш. Знакомство с произведением.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Мамин-Сибиряк. Приемыш. Характеристика героев.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Куприн Барбос и Жулька. Эмоциональное восприятие текста.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Куприн. Барбос и Жулька. Анализ восприятия текста через слово.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М. Пришвин «Выскочка» 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животных Е. И. Чарушин «Кабан». Юмор в произведении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Астафьев. Стрижонок Скрип. Знакомство с текстом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природы в рассказе В. П. Астафьева «Стрижонок Скрип»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«Природа и мы»</w:t>
            </w:r>
          </w:p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«Природа и мы»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0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тетрадь №3 (6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Б.Л. Пастернак. Золотая осень.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Клычков. Весна в лесу. 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Б. Кедрин «Бабье лето»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 Рубцов «Сентябрь»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Есенин «Лебедушка»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«Поэтическая тетрадь»</w:t>
            </w:r>
          </w:p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«Поэтическая тетрадь»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0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Родина (6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С. Никитина «Русь»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 Дрожжин.  Родине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В. Жигулина «О, Родина!»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А. Слуцкого «Лошади в океане»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«Родина»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«Родина»</w:t>
            </w:r>
          </w:p>
        </w:tc>
        <w:tc>
          <w:tcPr>
            <w:tcW w:w="1843" w:type="dxa"/>
            <w:gridSpan w:val="2"/>
          </w:tcPr>
          <w:p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0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 Фантазия (5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Велтистов. Приключения Электроника. Первичное знакомство.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Велтистов. Приключения Электроника. Анализ поступков героев.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 Булычев. Путешествие Алисы. Знакомство с писателем и его произведением.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 Булычев. Путешествие Алисы. Словесное иллюстрирование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«Стране Фантазии». (Обобщающий урок) </w:t>
            </w:r>
          </w:p>
        </w:tc>
        <w:tc>
          <w:tcPr>
            <w:tcW w:w="184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0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 (8 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Джонатан Свифт. Путешествие Гулливера. Знакомство с писателем и его произведением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Джонатан Свифт. Путешествие Гулливера. Составление плана пересказа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 Андерсен. Русалочка. Первичное знакомство с произведением.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первой любви в произведении М. Твена «Приключения Тома Сойера»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 Твен. Приключения Тома Сойера. Смелость и предприимчивость подростка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Библейские сказания. С. Лагерлеф «Святая ночь»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Лагерлёф. Святая ночь. Характеристика главных героев. С. Лагерлёф. В Назарете.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«Зарубежная литература»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86" w:type="dxa"/>
            <w:vAlign w:val="center"/>
          </w:tcPr>
          <w:p>
            <w:pPr>
              <w:pStyle w:val="6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3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Промежуточная аттестация: контрольная работа (тест).</w:t>
            </w:r>
          </w:p>
        </w:tc>
        <w:tc>
          <w:tcPr>
            <w:tcW w:w="1843" w:type="dxa"/>
            <w:gridSpan w:val="2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8A4"/>
    <w:multiLevelType w:val="multilevel"/>
    <w:tmpl w:val="3E8658A4"/>
    <w:lvl w:ilvl="0" w:tentative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1635C9"/>
    <w:multiLevelType w:val="multilevel"/>
    <w:tmpl w:val="5B1635C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A7F2D"/>
    <w:multiLevelType w:val="multilevel"/>
    <w:tmpl w:val="646A7F2D"/>
    <w:lvl w:ilvl="0" w:tentative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1830BD"/>
    <w:multiLevelType w:val="multilevel"/>
    <w:tmpl w:val="6C1830BD"/>
    <w:lvl w:ilvl="0" w:tentative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5F0FDC"/>
    <w:rsid w:val="00117479"/>
    <w:rsid w:val="001A5AD9"/>
    <w:rsid w:val="001B26F6"/>
    <w:rsid w:val="0027014E"/>
    <w:rsid w:val="00572D90"/>
    <w:rsid w:val="005C3825"/>
    <w:rsid w:val="005F0FDC"/>
    <w:rsid w:val="00662624"/>
    <w:rsid w:val="006675AD"/>
    <w:rsid w:val="00713A32"/>
    <w:rsid w:val="00744837"/>
    <w:rsid w:val="007B68F1"/>
    <w:rsid w:val="00961791"/>
    <w:rsid w:val="0097612C"/>
    <w:rsid w:val="00BE5CEB"/>
    <w:rsid w:val="00C16D2A"/>
    <w:rsid w:val="00CC5463"/>
    <w:rsid w:val="16057E7F"/>
    <w:rsid w:val="20DA307B"/>
    <w:rsid w:val="2ED2743C"/>
    <w:rsid w:val="3C5611DA"/>
    <w:rsid w:val="4935093B"/>
    <w:rsid w:val="5C4D1CB5"/>
    <w:rsid w:val="6660441E"/>
    <w:rsid w:val="6E6940E5"/>
    <w:rsid w:val="6F1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character" w:customStyle="1" w:styleId="5">
    <w:name w:val="Font Style14"/>
    <w:uiPriority w:val="99"/>
    <w:rPr>
      <w:rFonts w:ascii="Trebuchet MS" w:hAnsi="Trebuchet MS"/>
      <w:sz w:val="14"/>
    </w:rPr>
  </w:style>
  <w:style w:type="paragraph" w:styleId="6">
    <w:name w:val="List Paragraph"/>
    <w:basedOn w:val="1"/>
    <w:qFormat/>
    <w:uiPriority w:val="0"/>
    <w:pPr>
      <w:spacing w:after="0" w:line="240" w:lineRule="auto"/>
      <w:ind w:left="720"/>
      <w:jc w:val="both"/>
    </w:pPr>
    <w:rPr>
      <w:rFonts w:ascii="Times New Roman" w:hAnsi="Times New Roman" w:eastAsia="Calibri" w:cs="Times New Roman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2359</Words>
  <Characters>13447</Characters>
  <Lines>112</Lines>
  <Paragraphs>31</Paragraphs>
  <TotalTime>1</TotalTime>
  <ScaleCrop>false</ScaleCrop>
  <LinksUpToDate>false</LinksUpToDate>
  <CharactersWithSpaces>15775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2019-10-14T06:31:00Z</dcterms:created>
  <dc:creator>112</dc:creator>
  <cp:lastModifiedBy>Андрей</cp:lastModifiedBy>
  <cp:lastPrinted>2020-09-18T02:26:49Z</cp:lastPrinted>
  <dcterms:modified xsi:type="dcterms:W3CDTF">2020-09-18T02:26:58Z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